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Инструкции за подаване на сигналите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Комплект „Чайка" — 7 самодостатъчни документа. Нищо не се прилага — всичко необходимо е вписано в самите сигнали.</w:t>
      </w:r>
    </w:p>
    <w:p>
      <w:pPr>
        <w:pStyle w:val="Heading1"/>
        <w:spacing w:after="120" w:before="240"/>
      </w:pPr>
      <w:r>
        <w:rPr>
          <w:b/>
          <w:bCs/>
        </w:rPr>
        <w:t xml:space="preserve">Общи стъпки (за всеки документ — 2 минути)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1. </w:t>
      </w:r>
      <w:r>
        <w:t xml:space="preserve">Избери </w:t>
      </w:r>
      <w:r>
        <w:rPr>
          <w:b/>
          <w:bCs/>
        </w:rPr>
        <w:t xml:space="preserve">поне един</w:t>
      </w:r>
      <w:r>
        <w:t xml:space="preserve"> документ от комплекта (по-долу е обяснено кой за какво служи). Може и повече от един — до различни институции.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2. </w:t>
      </w:r>
      <w:r>
        <w:t xml:space="preserve">Попълни полетата в </w:t>
      </w:r>
      <w:r>
        <w:rPr>
          <w:b/>
          <w:bCs/>
        </w:rPr>
        <w:t xml:space="preserve">[скоби]</w:t>
      </w:r>
      <w:r>
        <w:t xml:space="preserve">: трите имена, адрес, телефон, имейл. По желание — едно изречение защо лично си засегнат (в кой блок живееш, как ползваш площадката). Това прави сигнала по-силен и различен от останалите.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3. </w:t>
      </w:r>
      <w:r>
        <w:rPr>
          <w:b/>
          <w:bCs/>
        </w:rPr>
        <w:t xml:space="preserve">Изпрати</w:t>
      </w:r>
      <w:r>
        <w:t xml:space="preserve">: по имейл (разпечатай, подпиши, сканирай/снимай и прикачи) или на място в деловодството (носи 2 екземпляра — единият с входящ номер остава за теб).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4. </w:t>
      </w:r>
      <w:r>
        <w:rPr>
          <w:b/>
          <w:bCs/>
        </w:rPr>
        <w:t xml:space="preserve">Съобщи на координатора</w:t>
      </w:r>
      <w:r>
        <w:t xml:space="preserve"> [ИМЕ, тел./имейл] до коя институция си подал и входящия номер — водим общ списък кой къде е подал и колко сме.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Нищо не е нужно да прилагаш — извадките от заповедите и фактологията са вградени във всеки документ, а органът изисква преписките по служебен ред. Ако все пак имаш снимки или извадка от КАИС — прикачи ги, ще помогнат.</w:t>
      </w:r>
    </w:p>
    <w:p>
      <w:pPr>
        <w:pStyle w:val="Heading1"/>
        <w:spacing w:after="120" w:before="240"/>
      </w:pPr>
      <w:r>
        <w:rPr>
          <w:b/>
          <w:bCs/>
        </w:rPr>
        <w:t xml:space="preserve">Кой документ до коя институция (и защо)</w:t>
      </w:r>
    </w:p>
    <w:p>
      <w:pPr>
        <w:spacing w:after="120"/>
        <w:jc w:val="both"/>
      </w:pPr>
      <w:r>
        <w:rPr>
          <w:b/>
          <w:bCs/>
        </w:rPr>
        <w:t xml:space="preserve">01 — Окръжна прокуратура — Варна. </w:t>
      </w:r>
      <w:r>
        <w:t xml:space="preserve">Проверка как обществен терен е станал частен; длъжностни престъпления. Подава: </w:t>
      </w:r>
      <w:r>
        <w:rPr>
          <w:b/>
          <w:bCs/>
        </w:rPr>
        <w:t xml:space="preserve">всеки</w:t>
      </w:r>
      <w:r>
        <w:t xml:space="preserve">. Изпращане: op@vn.prb.bg или деловодството (пл. „Независимост" — адресът е на prb.bg).</w:t>
      </w:r>
    </w:p>
    <w:p>
      <w:pPr>
        <w:spacing w:after="120"/>
        <w:jc w:val="both"/>
      </w:pPr>
      <w:r>
        <w:rPr>
          <w:b/>
          <w:bCs/>
        </w:rPr>
        <w:t xml:space="preserve">02 — Върховна административна прокуратура (ВАП). </w:t>
      </w:r>
      <w:r>
        <w:t xml:space="preserve">Надзор за законност — протест срещу незаконните устройствени актове (ПУП, разрешение за строеж). Подава: </w:t>
      </w:r>
      <w:r>
        <w:rPr>
          <w:b/>
          <w:bCs/>
        </w:rPr>
        <w:t xml:space="preserve">всеки</w:t>
      </w:r>
      <w:r>
        <w:t xml:space="preserve">. Изпращане: адресът/формата за сигнали на prb.bg.</w:t>
      </w:r>
    </w:p>
    <w:p>
      <w:pPr>
        <w:spacing w:after="120"/>
        <w:jc w:val="both"/>
      </w:pPr>
      <w:r>
        <w:rPr>
          <w:b/>
          <w:bCs/>
        </w:rPr>
        <w:t xml:space="preserve">03 — Районна прокуратура — Варна. </w:t>
      </w:r>
      <w:r>
        <w:t xml:space="preserve">Акцент върху непосредствената опасност — блокиран достъп за пожарна/линейка. Подава: </w:t>
      </w:r>
      <w:r>
        <w:rPr>
          <w:b/>
          <w:bCs/>
        </w:rPr>
        <w:t xml:space="preserve">всеки</w:t>
      </w:r>
      <w:r>
        <w:t xml:space="preserve">, но е най-силен от живущ в засегнатите блокове. Изпращане: адресът на prb.bg.</w:t>
      </w:r>
    </w:p>
    <w:p>
      <w:pPr>
        <w:spacing w:after="120"/>
        <w:jc w:val="both"/>
      </w:pPr>
      <w:r>
        <w:rPr>
          <w:b/>
          <w:bCs/>
        </w:rPr>
        <w:t xml:space="preserve">04 — ДНСК / РДНСК Североизточен район. </w:t>
      </w:r>
      <w:r>
        <w:t xml:space="preserve">Най-бързият лост — ДНСК може да </w:t>
      </w:r>
      <w:r>
        <w:rPr>
          <w:b/>
          <w:bCs/>
        </w:rPr>
        <w:t xml:space="preserve">спре строежа</w:t>
      </w:r>
      <w:r>
        <w:t xml:space="preserve"> (чл. 224 ЗУТ). Подава: </w:t>
      </w:r>
      <w:r>
        <w:rPr>
          <w:b/>
          <w:bCs/>
        </w:rPr>
        <w:t xml:space="preserve">всеки</w:t>
      </w:r>
      <w:r>
        <w:t xml:space="preserve">, без срок. Изпращане: dnsk@dnsk.mrrb.government.bg (потвърди на dnsk.mrrb.government.bg).</w:t>
      </w:r>
    </w:p>
    <w:p>
      <w:pPr>
        <w:spacing w:after="120"/>
        <w:jc w:val="both"/>
      </w:pPr>
      <w:r>
        <w:rPr>
          <w:b/>
          <w:bCs/>
        </w:rPr>
        <w:t xml:space="preserve">05 — Областен управител на област Варна. </w:t>
      </w:r>
      <w:r>
        <w:t xml:space="preserve">Проверка на разпореждането с държавната собственост (актуване, деактуване, прехвърляне). Подава: </w:t>
      </w:r>
      <w:r>
        <w:rPr>
          <w:b/>
          <w:bCs/>
        </w:rPr>
        <w:t xml:space="preserve">всеки</w:t>
      </w:r>
      <w:r>
        <w:t xml:space="preserve">. Изпращане: деловодството/имейла на Областна администрация — Варна (официалния сайт).</w:t>
      </w:r>
    </w:p>
    <w:p>
      <w:pPr>
        <w:spacing w:after="120"/>
        <w:jc w:val="both"/>
      </w:pPr>
      <w:r>
        <w:rPr>
          <w:b/>
          <w:bCs/>
        </w:rPr>
        <w:t xml:space="preserve">06 — РДПБЗН — Варна (Пожарна безопасност). </w:t>
      </w:r>
      <w:r>
        <w:t xml:space="preserve">Проверка на място на блокирания достъп за пожарни автомобили и линейки. Подава: </w:t>
      </w:r>
      <w:r>
        <w:rPr>
          <w:b/>
          <w:bCs/>
        </w:rPr>
        <w:t xml:space="preserve">всеки</w:t>
      </w:r>
      <w:r>
        <w:t xml:space="preserve">. Изпращане: адресът на РДПБЗН — Варна (сайта на МВР/ГДПБЗН).</w:t>
      </w:r>
    </w:p>
    <w:p>
      <w:pPr>
        <w:spacing w:after="120"/>
        <w:jc w:val="both"/>
      </w:pPr>
      <w:r>
        <w:rPr>
          <w:b/>
          <w:bCs/>
        </w:rPr>
        <w:t xml:space="preserve">07 — Общински съвет и Кмет на Община Варна. </w:t>
      </w:r>
      <w:r>
        <w:t xml:space="preserve">Мораториум, спиране на дейностите, връщане на терена като зелена/спортна площ, прозрачност. Подава: </w:t>
      </w:r>
      <w:r>
        <w:rPr>
          <w:b/>
          <w:bCs/>
        </w:rPr>
        <w:t xml:space="preserve">всеки</w:t>
      </w:r>
      <w:r>
        <w:t xml:space="preserve">. Изпращане: деловодството на Община Варна (бул. „Осми приморски полк" № 43) или официалните имейли на varna.bg.</w:t>
      </w:r>
    </w:p>
    <w:p>
      <w:pPr>
        <w:spacing w:after="120"/>
        <w:jc w:val="both"/>
      </w:pPr>
      <w:r>
        <w:rPr>
          <w:b/>
          <w:bCs/>
        </w:rPr>
        <w:t xml:space="preserve">Универсален сигнал (един документ за няколко адреса). </w:t>
      </w:r>
      <w:r>
        <w:t xml:space="preserve">В набора има и обединен вариант — „Готов сигнал — ЕДИН документ". В него избираш адресата от списък „ДО" в самия документ (Окръжна прокуратура / ДНСК / Областен управител) и може да го пратиш и до няколко от тях едновременно. Стъпките са същите: попълни данните си, изпрати, съобщи на координатора.</w:t>
      </w:r>
    </w:p>
    <w:p>
      <w:pPr>
        <w:pStyle w:val="Heading1"/>
        <w:spacing w:after="120" w:before="240"/>
      </w:pPr>
      <w:r>
        <w:rPr>
          <w:b/>
          <w:bCs/>
        </w:rPr>
        <w:t xml:space="preserve">Как да сме най-ефективни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Разпределете се</w:t>
      </w:r>
      <w:r>
        <w:t xml:space="preserve"> — не пращайте всички до един и същ адрес. Еднаквите сигнали до един орган често се обединяват в една преписка; сигнали до 7 различни институции значат 7 паралелни проверки.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Добавете </w:t>
      </w:r>
      <w:r>
        <w:rPr>
          <w:b/>
          <w:bCs/>
        </w:rPr>
        <w:t xml:space="preserve">по 1–2 свои изречения</w:t>
      </w:r>
      <w:r>
        <w:t xml:space="preserve"> (защо лично сте засегнати) — така сигналите не са идентични копия.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Пазете входящия номер</w:t>
      </w:r>
      <w:r>
        <w:t xml:space="preserve"> — по него се проследява преписката и имате право на писмен отговор.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Ако до 1 месец няма отговор — напомнете писмено, като цитирате входящия номер.</w:t>
      </w:r>
    </w:p>
    <w:p>
      <w:pPr>
        <w:pStyle w:val="Heading1"/>
        <w:spacing w:after="120" w:before="240"/>
      </w:pPr>
      <w:r>
        <w:rPr>
          <w:b/>
          <w:bCs/>
        </w:rPr>
        <w:t xml:space="preserve">Важно — за да сме защитени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Сигналите не са анонимни — попълнете реалните си данни, иначе може да не бъдат разгледани.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Пишете само истина; всичко спорно е формулирано като „моля за проверка", не като установена вина. Не добавяйте поименни обвинения.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Точност за ПУП (важно!):</w:t>
      </w:r>
      <w:r>
        <w:t xml:space="preserve"> НЕ твърдете „целият ПУП е отменен" или „ПУП никога не е влизал в сила" — планът от 2015 г. Е влязъл в сила през 2016 г. след решение на ВАС. Коректното твърдение (то е и в сигналите) е: с Решение № 196/06.02.2018 г. по адм. д. № 2024/2015 г. съдът е отменил плана </w:t>
      </w:r>
      <w:r>
        <w:rPr>
          <w:b/>
          <w:bCs/>
        </w:rPr>
        <w:t xml:space="preserve">в частта за УПИ при блокове 36 и 37</w:t>
      </w:r>
      <w:r>
        <w:t xml:space="preserve"> и е върнал преписката на Общинския съвет, който не е известно да се е произнесъл наново — затова искаме проверка дали УПИ III-106 попада в отменената част.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Не твърдете „има действаща строителна забрана" — заповедта от 2011 г. е ползвана само като доказателство за историята и механизма по чл. 16 ЗУТ.</w:t>
      </w:r>
    </w:p>
    <w:p>
      <w:pPr>
        <w:pStyle w:val="Heading1"/>
        <w:spacing w:after="120" w:before="240"/>
      </w:pPr>
      <w:r>
        <w:rPr>
          <w:b/>
          <w:bCs/>
        </w:rPr>
        <w:t xml:space="preserve">За собствениците в блокове 33, 34, 36 и 37 — отделно и спешно</w:t>
      </w:r>
    </w:p>
    <w:p>
      <w:pPr>
        <w:spacing w:after="120"/>
        <w:jc w:val="both"/>
      </w:pPr>
      <w:r>
        <w:t xml:space="preserve">Освен сигналите, само собствениците (или носители на вещни права) могат да </w:t>
      </w:r>
      <w:r>
        <w:rPr>
          <w:b/>
          <w:bCs/>
        </w:rPr>
        <w:t xml:space="preserve">обжалват пред Административен съд — Варна</w:t>
      </w:r>
      <w:r>
        <w:t xml:space="preserve">: (1) Разрешение за строеж № 74/04.05.2026 г. и (2) Заповед № 1424/24.04.2026 г. за дърветата. Срокът е </w:t>
      </w:r>
      <w:r>
        <w:rPr>
          <w:b/>
          <w:bCs/>
        </w:rPr>
        <w:t xml:space="preserve">14 дни от узнаването</w:t>
      </w:r>
      <w:r>
        <w:t xml:space="preserve">, изискват се приложения (документ за собственост) и е препоръчителен адвокат. Тези два образеца са в отделния комплект — обърнете се към координатора.</w:t>
      </w:r>
    </w:p>
    <w:p>
      <w:pPr>
        <w:spacing w:after="120"/>
      </w:pPr>
      <w:r>
        <w:t xml:space="preserve"/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След подаване — не забравяй: съобщи на координатора [ИМЕ, тел./имейл] институцията и входящия номер.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2026-07-10T08:50:50.450Z</dcterms:created>
  <dcterms:modified xsi:type="dcterms:W3CDTF">2026-07-10T08:50:50.450Z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