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120"/>
      </w:pPr>
      <w:r>
        <w:rPr>
          <w:b/>
          <w:bCs/>
          <w:sz w:val="30"/>
          <w:szCs w:val="30"/>
        </w:rPr>
        <w:t xml:space="preserve">Сигнал до РДПБЗН — Варна (Пожарна безопасност)</w:t>
      </w:r>
    </w:p>
    <w:p>
      <w:pPr>
        <w:spacing w:after="240"/>
        <w:jc w:val="left"/>
      </w:pPr>
      <w:r>
        <w:rPr>
          <w:i/>
          <w:iCs/>
          <w:color w:val="444444"/>
        </w:rPr>
        <w:t xml:space="preserve">Самодостатъчен документ — попълваш само своите данни, нищо не прилагаш.</w:t>
      </w:r>
    </w:p>
    <w:p>
      <w:pPr>
        <w:spacing w:after="120"/>
        <w:jc w:val="both"/>
      </w:pPr>
      <w:r>
        <w:rPr>
          <w:b/>
          <w:bCs/>
        </w:rPr>
        <w:t xml:space="preserve">ДО:</w:t>
      </w:r>
      <w:r>
        <w:t xml:space="preserve"> НАЧАЛНИКА НА РДПБЗН — ВАРНА (Пожарна безопасност и защита на населението)</w:t>
      </w:r>
    </w:p>
    <w:p>
      <w:pPr>
        <w:spacing w:after="120"/>
        <w:jc w:val="both"/>
      </w:pPr>
      <w:r>
        <w:rPr>
          <w:b/>
          <w:bCs/>
        </w:rPr>
        <w:t xml:space="preserve">ОТ:</w:t>
      </w:r>
      <w:r>
        <w:t xml:space="preserve"> [трите имена], адрес: гр. Варна, ж.к. „Чайка", бл. [.....], тел. [.....], имейл [.....]</w:t>
      </w:r>
    </w:p>
    <w:p>
      <w:pPr>
        <w:spacing w:after="120"/>
      </w:pPr>
      <w:r>
        <w:t xml:space="preserve"/>
      </w:r>
    </w:p>
    <w:p>
      <w:pPr>
        <w:spacing w:after="120"/>
        <w:jc w:val="center"/>
      </w:pPr>
      <w:r>
        <w:rPr>
          <w:b/>
          <w:bCs/>
        </w:rPr>
        <w:t xml:space="preserve">С И Г Н А Л</w:t>
      </w:r>
    </w:p>
    <w:p>
      <w:pPr>
        <w:spacing w:after="120"/>
        <w:jc w:val="both"/>
      </w:pPr>
      <w:r>
        <w:rPr>
          <w:b/>
          <w:bCs/>
        </w:rPr>
        <w:t xml:space="preserve">ОТНОСНО:</w:t>
      </w:r>
      <w:r>
        <w:t xml:space="preserve"> блокиран достъп за пожарни автомобили и линейки до блокове 33, 34, 36 и 37 в ж.к. „Чайка" заради ограден строеж в ПИ 10135.2562.322.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УВАЖАЕМИ ГОСПОДИН НАЧАЛНИК,</w:t>
      </w:r>
    </w:p>
    <w:p>
      <w:pPr>
        <w:spacing w:after="120"/>
        <w:jc w:val="both"/>
      </w:pPr>
      <w:r>
        <w:t xml:space="preserve">Оградата на строежа в ПИ 10135.2562.322 (възложител „Дикоуд" ЕООД, Разрешение за строеж № 74/04.05.2026 г.) блокира единствения проходим маршрут за пожарни автомобили, линейки и специализирана техника до блокове 33, 34, 36 и 37 в ж.к. „Чайка". Алтернативният подход е тесен и непроходим тупик. Това създава непосредствена опасност за живота и здравето на стотици живущи при пожар или спешен случай и противоречи на изискванията за пожаробезопасен достъп (Наредба № Iз-1971/2009 г.).</w:t>
      </w:r>
    </w:p>
    <w:p>
      <w:pPr>
        <w:spacing w:after="120"/>
        <w:jc w:val="both"/>
      </w:pPr>
      <w:r>
        <w:rPr>
          <w:b/>
          <w:bCs/>
        </w:rPr>
        <w:t xml:space="preserve">Лично съм засегнат, защото:</w:t>
      </w:r>
      <w:r>
        <w:t xml:space="preserve"> [по желание — напр. живея в бл. …, ползвам площадката/алеята, децата ми играят там].</w:t>
      </w:r>
    </w:p>
    <w:p>
      <w:pPr>
        <w:spacing w:after="120"/>
        <w:jc w:val="both"/>
      </w:pPr>
      <w:r>
        <w:rPr>
          <w:b/>
          <w:bCs/>
        </w:rPr>
        <w:t xml:space="preserve">МОЛЯ</w:t>
      </w:r>
      <w:r>
        <w:t xml:space="preserve"> да извършите проверка на място на осигурения пожаробезопасен достъп до застрашените жилищни сгради; да разпоредите мерки за възстановяване на проходимостта; и при установени нарушения да уведомите ДНСК и Община Варна. Необходимите фактически данни са вписани в настоящия сигнал (раздел „За информация").</w:t>
      </w:r>
    </w:p>
    <w:p>
      <w:pPr>
        <w:spacing w:after="120"/>
        <w:jc w:val="both"/>
      </w:pPr>
      <w:r>
        <w:t xml:space="preserve">По желание (не е задължително) прилагам снимки и/или извадка от КАИС.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С уважение,</w:t>
      </w:r>
    </w:p>
    <w:p>
      <w:pPr>
        <w:spacing w:after="120"/>
        <w:jc w:val="both"/>
      </w:pPr>
      <w:r>
        <w:t xml:space="preserve">Дата: ......................... 2026 г.        Подпис: .........................</w:t>
      </w:r>
    </w:p>
    <w:p>
      <w:pPr>
        <w:spacing w:after="120"/>
        <w:jc w:val="both"/>
      </w:pPr>
      <w:r>
        <w:t xml:space="preserve">(име, презиме, фамилия) ...............................................................</w:t>
      </w:r>
    </w:p>
    <w:p>
      <w:r>
        <w:br w:type="page"/>
      </w:r>
    </w:p>
    <w:p>
      <w:pPr>
        <w:pStyle w:val="Heading1"/>
        <w:spacing w:after="120" w:before="240"/>
      </w:pPr>
      <w:r>
        <w:rPr>
          <w:b/>
          <w:bCs/>
        </w:rPr>
        <w:t xml:space="preserve">За информация — данни и извадки от документите</w:t>
      </w:r>
    </w:p>
    <w:p>
      <w:pPr>
        <w:spacing w:after="120"/>
        <w:jc w:val="left"/>
      </w:pPr>
      <w:r>
        <w:rPr>
          <w:i/>
          <w:iCs/>
          <w:color w:val="555555"/>
          <w:sz w:val="20"/>
          <w:szCs w:val="20"/>
        </w:rPr>
        <w:t xml:space="preserve">Долните извадки са включени за удобство на проверяващия орган. Оригиналите са публични актове на Община Варна и могат да бъдат изискани по служебен ред. Данните за собствеността са „по данни" от публични източници и подлежат на служебна проверка.</w:t>
      </w:r>
    </w:p>
    <w:p>
      <w:pPr>
        <w:pStyle w:val="Heading2"/>
        <w:spacing w:after="80" w:before="160"/>
      </w:pPr>
      <w:r>
        <w:rPr>
          <w:b/>
          <w:bCs/>
        </w:rPr>
        <w:t xml:space="preserve">Кратка фактология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Имот:</w:t>
      </w:r>
      <w:r>
        <w:t xml:space="preserve"> ПИ 10135.2562.322; УПИ III-106, кв. 16 по плана на ж.к. „Чайка"; ~781 кв.м; режим „комплексно застрояване". Теренът се ползва от живущите като спортна/детска площадка и алея между блокове 33, 34, 36 и 37.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Възложител:</w:t>
      </w:r>
      <w:r>
        <w:t xml:space="preserve"> „Дикоуд" ЕООД, ЕИК 207229366; </w:t>
      </w:r>
      <w:r>
        <w:rPr>
          <w:b/>
          <w:bCs/>
        </w:rPr>
        <w:t xml:space="preserve">Разрешение за строеж № 74/04.05.2026 г.</w:t>
      </w:r>
      <w:r>
        <w:t xml:space="preserve"> (Община Варна, АГУП).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Собственост:</w:t>
      </w:r>
      <w:r>
        <w:t xml:space="preserve"> по данни от КАИС имотът доскоро е бил държавна собственост; промени по партидата на 19.11.2024 г. и 21.03.2025 г., след което имотът е частен и е препродаден на възложителя.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Устройствен статус:</w:t>
      </w:r>
      <w:r>
        <w:t xml:space="preserve"> ПУП-ПРЗ за 19-ти и 20-ти м.р. „Чайка" е одобрен с Решение № 2106-14/30.03.2015 г. на ОбС — Варна. На 05.08.2015 г. ОбС отменя одобрението след протести, но съдът обявява тази отмяна за нищожна (Решение № 2504/25.11.2015 г. на АС — Варна, оставено в сила от ВАС по адм. д. № 1123/2016 г.) и планът влиза в сила през 2016 г. Впоследствие с </w:t>
      </w:r>
      <w:r>
        <w:rPr>
          <w:b/>
          <w:bCs/>
        </w:rPr>
        <w:t xml:space="preserve">Решение № 196/06.02.2018 г. по адм. д. № 2024/2015 г. АС — Варна ОТМЕНЯ Решение № 2106-14 В ЧАСТТА</w:t>
      </w:r>
      <w:r>
        <w:t xml:space="preserve"> за УПИ при блокове 36 и 37 (вкл. УПИ II-245 „за озеленяване", УПИ III-60, УПИ IV-60, УПИ IV-239 и улици) по жалби на собственици от бл. 36 и бл. 37 и </w:t>
      </w:r>
      <w:r>
        <w:rPr>
          <w:b/>
          <w:bCs/>
        </w:rPr>
        <w:t xml:space="preserve">връща преписката на ОбС за ново произнасяне</w:t>
      </w:r>
      <w:r>
        <w:t xml:space="preserve">. Данни за такова ново произнасяне няма; в регистрите на АГУП за 2024–2025 г. не фигурира заповед за одобряване на ПУП за кв. 16 на ж.к. „Чайка".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08.07.2026 г.</w:t>
      </w:r>
      <w:r>
        <w:t xml:space="preserve"> — теренът е ограден; </w:t>
      </w:r>
      <w:r>
        <w:rPr>
          <w:b/>
          <w:bCs/>
        </w:rPr>
        <w:t xml:space="preserve">10.07.2026 г.</w:t>
      </w:r>
      <w:r>
        <w:t xml:space="preserve"> — кметът разпорежда спиране на изсичането на дърветата и обявява намерение за мораториум.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1424/24.04.2026 г. на Кмета на Община Варна</w:t>
      </w:r>
    </w:p>
    <w:p>
      <w:pPr>
        <w:spacing w:after="120"/>
        <w:jc w:val="both"/>
      </w:pPr>
      <w:r>
        <w:t xml:space="preserve">Издадена по заявление вх. № РД26004506ВН/26.02.2026 г. от „Дикоуд" ЕООД за премахване на </w:t>
      </w:r>
      <w:r>
        <w:rPr>
          <w:b/>
          <w:bCs/>
        </w:rPr>
        <w:t xml:space="preserve">19 броя дървета</w:t>
      </w:r>
      <w:r>
        <w:t xml:space="preserve"> в ПИ 10135.2562.322, във връзка с одобрен проект за обект „Многофамилна жилищна сграда с подземно застрояване" в УПИ III-106, кв. 16, ж.к. „Чайка" (доклад № РД26004506ВН_001ВН/09.03.2026 г.). Компенсаторното засаждане на 19 дървета е предвидено в </w:t>
      </w:r>
      <w:r>
        <w:rPr>
          <w:b/>
          <w:bCs/>
        </w:rPr>
        <w:t xml:space="preserve">друг имот</w:t>
      </w:r>
      <w:r>
        <w:t xml:space="preserve"> — ПИ 10135.2562.199. Подписана от зам.-кмет Димитър Кирчев за кмета Благомир Коцев.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3192/01.09.2011 г. на Кмета на Община Варна</w:t>
      </w:r>
    </w:p>
    <w:p>
      <w:pPr>
        <w:spacing w:after="120"/>
        <w:jc w:val="both"/>
      </w:pPr>
      <w:r>
        <w:t xml:space="preserve">С нея кметът налага </w:t>
      </w:r>
      <w:r>
        <w:rPr>
          <w:b/>
          <w:bCs/>
        </w:rPr>
        <w:t xml:space="preserve">строителна забрана по чл. 198, ал. 1, т. 1 ЗУТ</w:t>
      </w:r>
      <w:r>
        <w:t xml:space="preserve"> за територията на 19-ти и 20-ти микрорайон (ж.к. „Чайка") и на основание чл. 198, ал. 4 ЗУТ </w:t>
      </w:r>
      <w:r>
        <w:rPr>
          <w:b/>
          <w:bCs/>
        </w:rPr>
        <w:t xml:space="preserve">спира действието по прилагане на влезлите в сила подробни устройствени планове</w:t>
      </w:r>
      <w:r>
        <w:t xml:space="preserve"> за територията. Заповедта е издадена в рамките на процедура за нов ПУП, започнала с </w:t>
      </w:r>
      <w:r>
        <w:rPr>
          <w:b/>
          <w:bCs/>
        </w:rPr>
        <w:t xml:space="preserve">Решение № 0005/12.08.2005 г.</w:t>
      </w:r>
      <w:r>
        <w:t xml:space="preserve">, предвиждаща „приложение на </w:t>
      </w:r>
      <w:r>
        <w:rPr>
          <w:b/>
          <w:bCs/>
        </w:rPr>
        <w:t xml:space="preserve">чл. 16 от ЗУТ</w:t>
      </w:r>
      <w:r>
        <w:t xml:space="preserve"> с възможност за </w:t>
      </w:r>
      <w:r>
        <w:rPr>
          <w:b/>
          <w:bCs/>
        </w:rPr>
        <w:t xml:space="preserve">промяна в местоположението на възстановени незастроени имоти</w:t>
      </w:r>
      <w:r>
        <w:t xml:space="preserve"> в обхвата на проектната разработка". Изрично посоченият мотив е защита на „особено важен обществен интерес… със </w:t>
      </w:r>
      <w:r>
        <w:rPr>
          <w:b/>
          <w:bCs/>
        </w:rPr>
        <w:t xml:space="preserve">запазване на зелените площи и междублокови пространства</w:t>
      </w:r>
      <w:r>
        <w:t xml:space="preserve">".</w:t>
      </w:r>
    </w:p>
    <w:p>
      <w:pPr>
        <w:spacing w:after="120"/>
        <w:jc w:val="both"/>
      </w:pPr>
      <w:r>
        <w:t xml:space="preserve">Значение: заповедта документира (1) официалната позиция на Община Варна, че зелените площи и междублоковите пространства в „Чайка" подлежат на запазване, и (2) механизма по чл. 16 ЗУТ, чрез който е възможно реституиран имот да бъде „преместен" върху обществен терен — обстоятелство, което следва да се провери по отношение формирането на УПИ III-106.</w:t>
      </w:r>
    </w:p>
    <w:p>
      <w:pPr>
        <w:pStyle w:val="Heading2"/>
        <w:spacing w:after="80" w:before="160"/>
      </w:pPr>
      <w:r>
        <w:rPr>
          <w:b/>
          <w:bCs/>
        </w:rPr>
        <w:t xml:space="preserve">Съдебните решения за ПУП (ключов въпрос)</w:t>
      </w:r>
    </w:p>
    <w:p>
      <w:pPr>
        <w:spacing w:after="120"/>
        <w:jc w:val="both"/>
      </w:pPr>
      <w:r>
        <w:t xml:space="preserve">Твърдението на Община Варна, че строежът „се базира на влезлия в сила през 2015 г. ПУП", следва да се съпостави с </w:t>
      </w:r>
      <w:r>
        <w:rPr>
          <w:b/>
          <w:bCs/>
        </w:rPr>
        <w:t xml:space="preserve">Решение № 196/06.02.2018 г. по адм. д. № 2024/2015 г. на Административен съд — Варна</w:t>
      </w:r>
      <w:r>
        <w:t xml:space="preserve"> (публикувано на страницата „Съдебна практика" на ОбС — Варна), с което планът е </w:t>
      </w:r>
      <w:r>
        <w:rPr>
          <w:b/>
          <w:bCs/>
        </w:rPr>
        <w:t xml:space="preserve">отменен в частта</w:t>
      </w:r>
      <w:r>
        <w:t xml:space="preserve"> за УПИ, разположени именно при блокове 36 и 37 — зоната на настоящия строеж, — а преписката е върната на Общинския съвет за ново произнасяне. </w:t>
      </w:r>
      <w:r>
        <w:rPr>
          <w:b/>
          <w:bCs/>
        </w:rPr>
        <w:t xml:space="preserve">Ключовият въпрос по преписката е дали УПИ III-106, кв. 16 попада в отменената с това решение част</w:t>
      </w:r>
      <w:r>
        <w:t xml:space="preserve"> — ако попада, разрешението за строеж е издадено без действаща устройствена основа. Това може и следва да се установи служебно чрез съпоставка на регулационния план и съдебното решение.</w:t>
      </w:r>
    </w:p>
    <w:p>
      <w:pPr>
        <w:pStyle w:val="Heading2"/>
        <w:spacing w:after="80" w:before="160"/>
      </w:pPr>
      <w:r>
        <w:rPr>
          <w:b/>
          <w:bCs/>
        </w:rPr>
        <w:t xml:space="preserve">Правна рамка (накратко)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7 ЗДС / чл. 7 ЗОС — публичната собственост (алеи, площадки с обслужваща функция) е извън гражданския оборот и не се прехвърля без законно деактуване.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 ЗУТ — ново строителство в съществуващ жилищен комплекс („комплексно застрояване") се допуска само въз основа на ПУП със задължително обществено обсъждане и без надвишаване на показателите на плана, по който е създаден комплексът.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224–225 ЗУТ — ДНСК има служебни правомощия да провери и спре строеж при нарушения.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Наредба № Iз-1971/2009 г. — изисквания за пожаробезопасен достъп до сградите.</w:t>
      </w:r>
    </w:p>
    <w:sectPr>
      <w:pgSz w:w="11906" w:h="16838" w:orient="portrait"/>
      <w:pgMar w:top="10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48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2026-07-10T08:38:39.674Z</dcterms:created>
  <dcterms:modified xsi:type="dcterms:W3CDTF">2026-07-10T08:38:39.674Z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